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Nzevakce"/>
        </w:rPr>
      </w:sdtEndPr>
      <w:sdtContent>
        <w:p w14:paraId="6369C310" w14:textId="36629A8B" w:rsidR="00B172EC" w:rsidRPr="0017695A" w:rsidRDefault="00861D84" w:rsidP="00352421">
          <w:pPr>
            <w:pStyle w:val="Titul2"/>
          </w:pPr>
          <w:r w:rsidRPr="00861D84" w:rsidDel="00F772C6">
            <w:rPr>
              <w:rStyle w:val="Nzevakce"/>
              <w:b/>
            </w:rPr>
            <w:t>„</w:t>
          </w:r>
          <w:r w:rsidRPr="00861D84">
            <w:rPr>
              <w:rStyle w:val="Nzevakce"/>
              <w:b/>
            </w:rPr>
            <w:t>Rekonstrukce úseku tratě Opava Východ – Kravaře ve Slezsku</w:t>
          </w:r>
          <w:r w:rsidRPr="00861D84" w:rsidDel="00F772C6">
            <w:rPr>
              <w:rStyle w:val="Nzevakce"/>
              <w:b/>
            </w:rPr>
            <w:t>“</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23DA67D8" w14:textId="4796105F" w:rsidR="00861D84" w:rsidRDefault="00861D84" w:rsidP="00861D84">
      <w:pPr>
        <w:pStyle w:val="PNOdrka1-"/>
        <w:numPr>
          <w:ilvl w:val="0"/>
          <w:numId w:val="0"/>
        </w:numPr>
        <w:rPr>
          <w:color w:val="0563C1" w:themeColor="hyperlink"/>
          <w:u w:val="single"/>
        </w:rPr>
      </w:pPr>
      <w:bookmarkStart w:id="0" w:name="_Hlk212103995"/>
      <w:r>
        <w:rPr>
          <w:b/>
          <w:bCs/>
        </w:rPr>
        <w:t xml:space="preserve">Ing. Libor </w:t>
      </w:r>
      <w:proofErr w:type="spellStart"/>
      <w:r>
        <w:rPr>
          <w:b/>
          <w:bCs/>
        </w:rPr>
        <w:t>Šimaliak</w:t>
      </w:r>
      <w:proofErr w:type="spellEnd"/>
      <w:r w:rsidRPr="00374588">
        <w:t>, tel. +</w:t>
      </w:r>
      <w:r w:rsidRPr="00B25FFF">
        <w:t>420</w:t>
      </w:r>
      <w:r>
        <w:t> 724 932 328</w:t>
      </w:r>
      <w:r w:rsidRPr="00374588">
        <w:t xml:space="preserve">, e-mail: </w:t>
      </w:r>
      <w:hyperlink r:id="rId11" w:history="1">
        <w:r w:rsidRPr="00317836">
          <w:rPr>
            <w:rStyle w:val="Hypertextovodkaz"/>
          </w:rPr>
          <w:t>Simaliak@spravazeleznic.cz</w:t>
        </w:r>
      </w:hyperlink>
    </w:p>
    <w:bookmarkEnd w:id="0"/>
    <w:p w14:paraId="0CCE88F0" w14:textId="77777777" w:rsidR="00861D84" w:rsidRDefault="00861D84" w:rsidP="00861D84">
      <w:pPr>
        <w:pStyle w:val="SoDTextbezodsazen"/>
        <w:spacing w:after="0"/>
      </w:pPr>
      <w:r w:rsidRPr="0035389F">
        <w:t xml:space="preserve">Správa železnic, </w:t>
      </w:r>
      <w:r>
        <w:t>státní organizace</w:t>
      </w:r>
    </w:p>
    <w:p w14:paraId="6A680CE4" w14:textId="77777777" w:rsidR="00861D84" w:rsidRDefault="00861D84" w:rsidP="00861D84">
      <w:pPr>
        <w:pStyle w:val="SoDTextbezodsazen"/>
        <w:spacing w:after="0"/>
      </w:pPr>
      <w:r w:rsidRPr="00D73F04">
        <w:t xml:space="preserve">Stavební správa východ, Nerudova 1, 779 00 Olomouc </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4EA625A6" w14:textId="77777777" w:rsidR="007B065A" w:rsidRDefault="002D7BD2" w:rsidP="002D7BD2">
      <w:pPr>
        <w:pStyle w:val="PNTextzkladn"/>
      </w:pPr>
      <w:bookmarkStart w:id="1" w:name="_Hlk135650157"/>
      <w:r>
        <w:t xml:space="preserve">Faktury budou vystavené v souladu s Právními předpisy. </w:t>
      </w:r>
    </w:p>
    <w:p w14:paraId="2A8054A5" w14:textId="77777777" w:rsidR="002D7BD2" w:rsidRDefault="002D7BD2" w:rsidP="002D7BD2">
      <w:pPr>
        <w:pStyle w:val="PNTextzkladn"/>
      </w:pPr>
      <w:bookmarkStart w:id="2" w:name="_Hlk135650207"/>
      <w:bookmarkEnd w:id="1"/>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lastRenderedPageBreak/>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2"/>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proofErr w:type="spellStart"/>
      <w:r w:rsidR="002D7BD2" w:rsidRPr="00097CAC">
        <w:rPr>
          <w:b/>
        </w:rPr>
        <w:t>uccchjm</w:t>
      </w:r>
      <w:proofErr w:type="spellEnd"/>
      <w:r w:rsidR="002D7BD2" w:rsidRPr="00B94735">
        <w:t>.</w:t>
      </w:r>
    </w:p>
    <w:p w14:paraId="09A835B0" w14:textId="25309767" w:rsidR="00E43960" w:rsidRDefault="00E43960" w:rsidP="002D7BD2">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proofErr w:type="gramStart"/>
      <w:r>
        <w:rPr>
          <w:rFonts w:eastAsia="Times New Roman" w:cs="Times New Roman"/>
        </w:rPr>
        <w:t xml:space="preserve">1.1.4.20  </w:t>
      </w:r>
      <w:r w:rsidR="00F758FA" w:rsidRPr="005C0082">
        <w:rPr>
          <w:rFonts w:eastAsia="Times New Roman" w:cs="Times New Roman"/>
        </w:rPr>
        <w:t>„</w:t>
      </w:r>
      <w:proofErr w:type="gramEnd"/>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t>1.1.5.6</w:t>
      </w:r>
      <w:r w:rsidR="009D228B">
        <w:tab/>
      </w:r>
      <w:r>
        <w:t xml:space="preserve">Definice sekcí </w:t>
      </w:r>
    </w:p>
    <w:p w14:paraId="6790D310" w14:textId="77777777" w:rsidR="00C96E7C" w:rsidRDefault="00C96E7C" w:rsidP="00C732F0">
      <w:pPr>
        <w:pStyle w:val="Nadpistabulky"/>
        <w:jc w:val="both"/>
      </w:pPr>
      <w:r>
        <w:t xml:space="preserve">Specifikace jednotlivých Sekcí: </w:t>
      </w:r>
    </w:p>
    <w:tbl>
      <w:tblPr>
        <w:tblStyle w:val="Tabulka10"/>
        <w:tblW w:w="6357" w:type="dxa"/>
        <w:tblLook w:val="04A0" w:firstRow="1" w:lastRow="0" w:firstColumn="1" w:lastColumn="0" w:noHBand="0" w:noVBand="1"/>
      </w:tblPr>
      <w:tblGrid>
        <w:gridCol w:w="1320"/>
        <w:gridCol w:w="3073"/>
        <w:gridCol w:w="1964"/>
      </w:tblGrid>
      <w:tr w:rsidR="002F6041" w:rsidRPr="005E61D2" w14:paraId="00A64F7B" w14:textId="77777777" w:rsidTr="002F60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A3A18E7" w14:textId="77777777" w:rsidR="002F6041" w:rsidRPr="00AF2F25" w:rsidRDefault="002F6041" w:rsidP="00A778E1">
            <w:pPr>
              <w:pStyle w:val="Tabulka-7"/>
              <w:keepNext/>
              <w:rPr>
                <w:b/>
              </w:rPr>
            </w:pPr>
            <w:r w:rsidRPr="00AF2F25">
              <w:rPr>
                <w:b/>
              </w:rPr>
              <w:t>Sekce</w:t>
            </w:r>
          </w:p>
        </w:tc>
        <w:tc>
          <w:tcPr>
            <w:tcW w:w="3073" w:type="dxa"/>
          </w:tcPr>
          <w:p w14:paraId="61DA378C" w14:textId="77777777" w:rsidR="002F6041" w:rsidRPr="00AF2F25" w:rsidRDefault="002F6041" w:rsidP="00A778E1">
            <w:pPr>
              <w:pStyle w:val="Tabulka-7"/>
              <w:cnfStyle w:val="100000000000" w:firstRow="1" w:lastRow="0" w:firstColumn="0" w:lastColumn="0" w:oddVBand="0" w:evenVBand="0" w:oddHBand="0" w:evenHBand="0" w:firstRowFirstColumn="0" w:firstRowLastColumn="0" w:lastRowFirstColumn="0" w:lastRowLastColumn="0"/>
              <w:rPr>
                <w:b/>
              </w:rPr>
            </w:pPr>
            <w:r w:rsidRPr="00AF2F25">
              <w:rPr>
                <w:b/>
              </w:rPr>
              <w:t>Činnosti</w:t>
            </w:r>
          </w:p>
        </w:tc>
        <w:tc>
          <w:tcPr>
            <w:tcW w:w="1964" w:type="dxa"/>
          </w:tcPr>
          <w:p w14:paraId="77BF4AD2" w14:textId="77777777" w:rsidR="002F6041" w:rsidRPr="005E61D2" w:rsidRDefault="002F6041" w:rsidP="00A778E1">
            <w:pPr>
              <w:pStyle w:val="Tabulka-7"/>
              <w:cnfStyle w:val="100000000000" w:firstRow="1" w:lastRow="0" w:firstColumn="0" w:lastColumn="0" w:oddVBand="0" w:evenVBand="0" w:oddHBand="0" w:evenHBand="0" w:firstRowFirstColumn="0" w:firstRowLastColumn="0" w:lastRowFirstColumn="0" w:lastRowLastColumn="0"/>
              <w:rPr>
                <w:b/>
              </w:rPr>
            </w:pPr>
            <w:r w:rsidRPr="005E61D2">
              <w:rPr>
                <w:b/>
              </w:rPr>
              <w:t>Doba pro dokončení</w:t>
            </w:r>
          </w:p>
        </w:tc>
      </w:tr>
      <w:tr w:rsidR="002F6041" w:rsidRPr="005E61D2" w14:paraId="2DF7C68F" w14:textId="77777777" w:rsidTr="002F6041">
        <w:tc>
          <w:tcPr>
            <w:cnfStyle w:val="001000000000" w:firstRow="0" w:lastRow="0" w:firstColumn="1" w:lastColumn="0" w:oddVBand="0" w:evenVBand="0" w:oddHBand="0" w:evenHBand="0" w:firstRowFirstColumn="0" w:firstRowLastColumn="0" w:lastRowFirstColumn="0" w:lastRowLastColumn="0"/>
            <w:tcW w:w="1320" w:type="dxa"/>
          </w:tcPr>
          <w:p w14:paraId="0743D876" w14:textId="77777777" w:rsidR="002F6041" w:rsidRPr="00AF2F25" w:rsidRDefault="002F6041" w:rsidP="00A778E1">
            <w:pPr>
              <w:pStyle w:val="Tabulka-7"/>
            </w:pPr>
            <w:r w:rsidRPr="00AF2F25">
              <w:t>Sekce 1 (projekční část)</w:t>
            </w:r>
          </w:p>
        </w:tc>
        <w:tc>
          <w:tcPr>
            <w:tcW w:w="3073" w:type="dxa"/>
          </w:tcPr>
          <w:p w14:paraId="50D3D1E0" w14:textId="77777777" w:rsidR="002F6041" w:rsidRPr="00AF2F25" w:rsidRDefault="002F6041" w:rsidP="00A778E1">
            <w:pPr>
              <w:pStyle w:val="Tabulka-7"/>
              <w:cnfStyle w:val="000000000000" w:firstRow="0" w:lastRow="0" w:firstColumn="0" w:lastColumn="0" w:oddVBand="0" w:evenVBand="0" w:oddHBand="0" w:evenHBand="0" w:firstRowFirstColumn="0" w:firstRowLastColumn="0" w:lastRowFirstColumn="0" w:lastRowLastColumn="0"/>
            </w:pPr>
            <w:r w:rsidRPr="00AF2F25">
              <w:t>Zhotovení Dokumentace DPS+PDPS a</w:t>
            </w:r>
            <w:r>
              <w:t> </w:t>
            </w:r>
            <w:r w:rsidRPr="00AF2F25">
              <w:t>nabytí právní moci povolení záměru či jiného dokladu opravňujícího k zahájení zhotovení stavby</w:t>
            </w:r>
          </w:p>
        </w:tc>
        <w:tc>
          <w:tcPr>
            <w:tcW w:w="1964" w:type="dxa"/>
          </w:tcPr>
          <w:p w14:paraId="28AA7283" w14:textId="77777777" w:rsidR="002F6041" w:rsidRPr="005E61D2" w:rsidRDefault="002F6041" w:rsidP="00A778E1">
            <w:pPr>
              <w:pStyle w:val="Tabulka-7"/>
              <w:cnfStyle w:val="000000000000" w:firstRow="0" w:lastRow="0" w:firstColumn="0" w:lastColumn="0" w:oddVBand="0" w:evenVBand="0" w:oddHBand="0" w:evenHBand="0" w:firstRowFirstColumn="0" w:firstRowLastColumn="0" w:lastRowFirstColumn="0" w:lastRowLastColumn="0"/>
            </w:pPr>
            <w:r w:rsidRPr="005E61D2">
              <w:rPr>
                <w:b/>
                <w:bCs/>
              </w:rPr>
              <w:t xml:space="preserve">12 </w:t>
            </w:r>
            <w:r w:rsidRPr="005E61D2">
              <w:t>měsíců od Data zahájení prací (předpokládané zahájení 03/2026)</w:t>
            </w:r>
          </w:p>
        </w:tc>
      </w:tr>
      <w:tr w:rsidR="002F6041" w:rsidRPr="00D358DD" w14:paraId="52887663" w14:textId="77777777" w:rsidTr="002F6041">
        <w:tc>
          <w:tcPr>
            <w:cnfStyle w:val="001000000000" w:firstRow="0" w:lastRow="0" w:firstColumn="1" w:lastColumn="0" w:oddVBand="0" w:evenVBand="0" w:oddHBand="0" w:evenHBand="0" w:firstRowFirstColumn="0" w:firstRowLastColumn="0" w:lastRowFirstColumn="0" w:lastRowLastColumn="0"/>
            <w:tcW w:w="1320" w:type="dxa"/>
          </w:tcPr>
          <w:p w14:paraId="158933EB" w14:textId="77777777" w:rsidR="002F6041" w:rsidRPr="00AF2F25" w:rsidRDefault="002F6041" w:rsidP="00A778E1">
            <w:pPr>
              <w:pStyle w:val="Tabulka-7"/>
            </w:pPr>
            <w:r w:rsidRPr="00AF2F25">
              <w:t>Sekce 2 (stavební část)</w:t>
            </w:r>
          </w:p>
        </w:tc>
        <w:tc>
          <w:tcPr>
            <w:tcW w:w="3073" w:type="dxa"/>
          </w:tcPr>
          <w:p w14:paraId="4B997B4A" w14:textId="77777777" w:rsidR="002F6041" w:rsidRPr="00AF2F25" w:rsidRDefault="002F6041" w:rsidP="00A778E1">
            <w:pPr>
              <w:pStyle w:val="Tabulka-7"/>
              <w:cnfStyle w:val="000000000000" w:firstRow="0" w:lastRow="0" w:firstColumn="0" w:lastColumn="0" w:oddVBand="0" w:evenVBand="0" w:oddHBand="0" w:evenHBand="0" w:firstRowFirstColumn="0" w:firstRowLastColumn="0" w:lastRowFirstColumn="0" w:lastRowLastColumn="0"/>
            </w:pPr>
            <w:r w:rsidRPr="00AF2F25">
              <w:t>Zhotovení stavby včetně uvedení SO a</w:t>
            </w:r>
            <w:r>
              <w:t> </w:t>
            </w:r>
            <w:r w:rsidRPr="00AF2F25">
              <w:t>PS do Zkušebního provozu, kromě</w:t>
            </w:r>
            <w:r>
              <w:t xml:space="preserve"> </w:t>
            </w:r>
            <w:r w:rsidRPr="00AF2F25">
              <w:t>položek</w:t>
            </w:r>
            <w:r>
              <w:t xml:space="preserve"> č. 1,2,3, a 4</w:t>
            </w:r>
            <w:r w:rsidRPr="00AF2F25">
              <w:t xml:space="preserve"> objektu SO</w:t>
            </w:r>
            <w:r>
              <w:t>999.</w:t>
            </w:r>
            <w:r w:rsidRPr="00AF2F25">
              <w:t>98</w:t>
            </w:r>
            <w:r>
              <w:t>.</w:t>
            </w:r>
            <w:r w:rsidRPr="00AF2F25">
              <w:t xml:space="preserve">98 Všeobecný objekt, které </w:t>
            </w:r>
            <w:r w:rsidRPr="00AF2F25">
              <w:lastRenderedPageBreak/>
              <w:t>budou provedeny až po dokončení Sekce</w:t>
            </w:r>
            <w:r>
              <w:t> </w:t>
            </w:r>
            <w:r w:rsidRPr="00AF2F25">
              <w:t xml:space="preserve">2 </w:t>
            </w:r>
          </w:p>
        </w:tc>
        <w:tc>
          <w:tcPr>
            <w:tcW w:w="1964" w:type="dxa"/>
          </w:tcPr>
          <w:p w14:paraId="6EEB4379" w14:textId="77777777" w:rsidR="002F6041" w:rsidRPr="00D358DD" w:rsidRDefault="002F6041" w:rsidP="00A778E1">
            <w:pPr>
              <w:pStyle w:val="Tabulka-7"/>
              <w:cnfStyle w:val="000000000000" w:firstRow="0" w:lastRow="0" w:firstColumn="0" w:lastColumn="0" w:oddVBand="0" w:evenVBand="0" w:oddHBand="0" w:evenHBand="0" w:firstRowFirstColumn="0" w:firstRowLastColumn="0" w:lastRowFirstColumn="0" w:lastRowLastColumn="0"/>
              <w:rPr>
                <w:highlight w:val="green"/>
              </w:rPr>
            </w:pPr>
            <w:r>
              <w:rPr>
                <w:b/>
                <w:bCs/>
              </w:rPr>
              <w:lastRenderedPageBreak/>
              <w:t>22</w:t>
            </w:r>
            <w:r w:rsidRPr="005E61D2">
              <w:t xml:space="preserve"> měsíců od Data zahájení prací</w:t>
            </w:r>
            <w:r>
              <w:t xml:space="preserve"> </w:t>
            </w:r>
          </w:p>
        </w:tc>
      </w:tr>
      <w:tr w:rsidR="002F6041" w:rsidRPr="00D358DD" w14:paraId="58063F29" w14:textId="77777777" w:rsidTr="002F6041">
        <w:tc>
          <w:tcPr>
            <w:cnfStyle w:val="001000000000" w:firstRow="0" w:lastRow="0" w:firstColumn="1" w:lastColumn="0" w:oddVBand="0" w:evenVBand="0" w:oddHBand="0" w:evenHBand="0" w:firstRowFirstColumn="0" w:firstRowLastColumn="0" w:lastRowFirstColumn="0" w:lastRowLastColumn="0"/>
            <w:tcW w:w="1320" w:type="dxa"/>
          </w:tcPr>
          <w:p w14:paraId="58329080" w14:textId="77777777" w:rsidR="002F6041" w:rsidRPr="00D358DD" w:rsidRDefault="002F6041" w:rsidP="00A778E1">
            <w:pPr>
              <w:pStyle w:val="Tabulka-7"/>
              <w:rPr>
                <w:highlight w:val="green"/>
              </w:rPr>
            </w:pPr>
            <w:r w:rsidRPr="00AF2F25">
              <w:t>Dokončení díla</w:t>
            </w:r>
          </w:p>
        </w:tc>
        <w:tc>
          <w:tcPr>
            <w:tcW w:w="3073" w:type="dxa"/>
          </w:tcPr>
          <w:p w14:paraId="26DE64DB" w14:textId="77777777" w:rsidR="002F6041" w:rsidRPr="00D358DD" w:rsidRDefault="002F6041" w:rsidP="00A778E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BE1576">
              <w:t xml:space="preserve">Položky </w:t>
            </w:r>
            <w:r>
              <w:t>č. 1,2,3, a 4</w:t>
            </w:r>
            <w:r w:rsidRPr="00AF2F25">
              <w:t xml:space="preserve"> </w:t>
            </w:r>
            <w:r w:rsidRPr="00BE1576">
              <w:t xml:space="preserve">z objektu SO999.98.98, </w:t>
            </w:r>
          </w:p>
        </w:tc>
        <w:tc>
          <w:tcPr>
            <w:tcW w:w="1964" w:type="dxa"/>
          </w:tcPr>
          <w:p w14:paraId="0D7837ED" w14:textId="77777777" w:rsidR="002F6041" w:rsidRPr="00D358DD" w:rsidRDefault="002F6041" w:rsidP="00A778E1">
            <w:pPr>
              <w:pStyle w:val="Tabulka-7"/>
              <w:cnfStyle w:val="000000000000" w:firstRow="0" w:lastRow="0" w:firstColumn="0" w:lastColumn="0" w:oddVBand="0" w:evenVBand="0" w:oddHBand="0" w:evenHBand="0" w:firstRowFirstColumn="0" w:firstRowLastColumn="0" w:lastRowFirstColumn="0" w:lastRowLastColumn="0"/>
              <w:rPr>
                <w:highlight w:val="green"/>
              </w:rPr>
            </w:pPr>
            <w:r>
              <w:rPr>
                <w:b/>
                <w:bCs/>
              </w:rPr>
              <w:t>28</w:t>
            </w:r>
            <w:r w:rsidRPr="00532DD8">
              <w:rPr>
                <w:b/>
                <w:bCs/>
              </w:rPr>
              <w:t xml:space="preserve"> </w:t>
            </w:r>
            <w:r w:rsidRPr="005E61D2">
              <w:t>měsíců</w:t>
            </w:r>
            <w:r>
              <w:t xml:space="preserve"> od Data zahájení prací</w:t>
            </w:r>
            <w:r w:rsidRPr="005E61D2">
              <w:t xml:space="preserve"> </w:t>
            </w:r>
          </w:p>
        </w:tc>
      </w:tr>
    </w:tbl>
    <w:p w14:paraId="7F8EF054" w14:textId="77777777" w:rsidR="00E41EEA" w:rsidRDefault="00E41EEA" w:rsidP="00C732F0">
      <w:pPr>
        <w:pStyle w:val="Bezmezer"/>
        <w:jc w:val="both"/>
      </w:pPr>
    </w:p>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EC11FF">
        <w:rPr>
          <w:b/>
        </w:rPr>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proofErr w:type="gramStart"/>
      <w:r>
        <w:t>1.4</w:t>
      </w:r>
      <w:r w:rsidR="005D168C">
        <w:t xml:space="preserve">  </w:t>
      </w:r>
      <w:r w:rsidR="005D168C">
        <w:tab/>
      </w:r>
      <w:proofErr w:type="gramEnd"/>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proofErr w:type="gramStart"/>
      <w:r>
        <w:t xml:space="preserve">1.4  </w:t>
      </w:r>
      <w:r w:rsidR="005D168C">
        <w:tab/>
      </w:r>
      <w:proofErr w:type="gramEnd"/>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proofErr w:type="gramStart"/>
      <w:r>
        <w:t xml:space="preserve">1.4  </w:t>
      </w:r>
      <w:r w:rsidR="005D168C">
        <w:tab/>
      </w:r>
      <w:proofErr w:type="gramEnd"/>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lastRenderedPageBreak/>
        <w:t>2.1</w:t>
      </w:r>
      <w:r w:rsidR="009D228B">
        <w:tab/>
      </w:r>
      <w:r>
        <w:t>Právo přístupu na staveniště</w:t>
      </w:r>
    </w:p>
    <w:p w14:paraId="7A996D4F" w14:textId="065C87FE" w:rsidR="00C96E7C" w:rsidRDefault="00C96E7C" w:rsidP="005D168C">
      <w:pPr>
        <w:pStyle w:val="Textbezodsazen"/>
      </w:pPr>
      <w:r>
        <w:t>Přístup na Staveniště bude Zhotoviteli umožněn od</w:t>
      </w:r>
      <w:r w:rsidR="002D7757">
        <w:t xml:space="preserve"> </w:t>
      </w:r>
      <w:r w:rsidR="002D7757" w:rsidRPr="002D7757">
        <w:t>Data zahájení prací</w:t>
      </w:r>
      <w:r>
        <w:t xml:space="preserve"> 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50FD0684" w14:textId="77777777" w:rsidR="002D7757" w:rsidRDefault="002D7757" w:rsidP="002D7757">
      <w:pPr>
        <w:pStyle w:val="PNTextzkladn"/>
      </w:pPr>
      <w:r>
        <w:t xml:space="preserve">Ve věcech </w:t>
      </w:r>
      <w:r w:rsidRPr="00CF609C">
        <w:t>smluvních</w:t>
      </w:r>
      <w:r>
        <w:t xml:space="preserve"> a obchodních (vyjma podpisu Smlouvy o dílo a případně jejích změn a dodatků):</w:t>
      </w:r>
    </w:p>
    <w:p w14:paraId="15EFE646" w14:textId="0B6C2D5E" w:rsidR="002D7757" w:rsidRDefault="002D7757" w:rsidP="002D7757">
      <w:pPr>
        <w:pStyle w:val="PNOdrka1-"/>
        <w:numPr>
          <w:ilvl w:val="0"/>
          <w:numId w:val="0"/>
        </w:numPr>
      </w:pPr>
      <w:r w:rsidRPr="00543DB3">
        <w:rPr>
          <w:b/>
          <w:bCs/>
        </w:rPr>
        <w:t xml:space="preserve">Mgr. </w:t>
      </w:r>
      <w:r>
        <w:rPr>
          <w:b/>
          <w:bCs/>
        </w:rPr>
        <w:t>Jan Hřídel</w:t>
      </w:r>
      <w:r>
        <w:t xml:space="preserve">, tel.: +420 724 932 362, e-mail: </w:t>
      </w:r>
      <w:hyperlink r:id="rId13" w:history="1">
        <w:r w:rsidRPr="00317836">
          <w:rPr>
            <w:rStyle w:val="Hypertextovodkaz"/>
          </w:rPr>
          <w:t>Hridel@spravazeleznic.cz</w:t>
        </w:r>
      </w:hyperlink>
    </w:p>
    <w:p w14:paraId="2F61C99F" w14:textId="77777777" w:rsidR="002D7757" w:rsidRPr="00512B45" w:rsidRDefault="002D7757" w:rsidP="002D7757">
      <w:pPr>
        <w:pStyle w:val="PNOdrka1-"/>
        <w:numPr>
          <w:ilvl w:val="0"/>
          <w:numId w:val="0"/>
        </w:numPr>
      </w:pPr>
      <w:r w:rsidRPr="00512B45">
        <w:t>Ve věcech technických:</w:t>
      </w:r>
    </w:p>
    <w:p w14:paraId="5580A975" w14:textId="57484C39" w:rsidR="002D7757" w:rsidRDefault="002D7757" w:rsidP="002D7757">
      <w:pPr>
        <w:pStyle w:val="PNOdrka1-"/>
        <w:numPr>
          <w:ilvl w:val="0"/>
          <w:numId w:val="0"/>
        </w:numPr>
      </w:pPr>
      <w:bookmarkStart w:id="3" w:name="_Hlk207951773"/>
      <w:r>
        <w:rPr>
          <w:b/>
          <w:bCs/>
        </w:rPr>
        <w:t>Ing. Jiří Dittmer</w:t>
      </w:r>
      <w:r w:rsidRPr="00374588">
        <w:t>, tel. +</w:t>
      </w:r>
      <w:r w:rsidRPr="00B25FFF">
        <w:t>420</w:t>
      </w:r>
      <w:r>
        <w:t> 724 932 287</w:t>
      </w:r>
      <w:r w:rsidRPr="00374588">
        <w:t xml:space="preserve">, e-mail: </w:t>
      </w:r>
      <w:r>
        <w:rPr>
          <w:color w:val="0563C1" w:themeColor="hyperlink"/>
          <w:u w:val="single"/>
        </w:rPr>
        <w:t>Dittmer</w:t>
      </w:r>
      <w:r w:rsidRPr="00494EA4">
        <w:rPr>
          <w:color w:val="0563C1" w:themeColor="hyperlink"/>
          <w:u w:val="single"/>
        </w:rPr>
        <w:t>@spravazeleznic.cz</w:t>
      </w:r>
    </w:p>
    <w:bookmarkEnd w:id="3"/>
    <w:p w14:paraId="43F1DF65" w14:textId="77777777" w:rsidR="002D7757" w:rsidRDefault="002D7757" w:rsidP="002D7757">
      <w:pPr>
        <w:pStyle w:val="PNOdrka1-"/>
        <w:numPr>
          <w:ilvl w:val="0"/>
          <w:numId w:val="0"/>
        </w:numPr>
      </w:pPr>
      <w:r>
        <w:t>Ve věci kontroly požití alkoholu a/nebo návykových látek:</w:t>
      </w:r>
    </w:p>
    <w:p w14:paraId="6A70B9D4" w14:textId="77777777" w:rsidR="002D7757" w:rsidRDefault="002D7757" w:rsidP="002D7757">
      <w:pPr>
        <w:pStyle w:val="PNOdrka1-"/>
        <w:numPr>
          <w:ilvl w:val="0"/>
          <w:numId w:val="0"/>
        </w:numPr>
        <w:rPr>
          <w:color w:val="0563C1" w:themeColor="hyperlink"/>
          <w:u w:val="single"/>
        </w:rPr>
      </w:pPr>
      <w:r>
        <w:rPr>
          <w:b/>
          <w:bCs/>
        </w:rPr>
        <w:t xml:space="preserve">Ing. Libor </w:t>
      </w:r>
      <w:proofErr w:type="spellStart"/>
      <w:r>
        <w:rPr>
          <w:b/>
          <w:bCs/>
        </w:rPr>
        <w:t>Šimaliak</w:t>
      </w:r>
      <w:proofErr w:type="spellEnd"/>
      <w:r w:rsidRPr="00374588">
        <w:t>, tel. +</w:t>
      </w:r>
      <w:r w:rsidRPr="00B25FFF">
        <w:t>420</w:t>
      </w:r>
      <w:r>
        <w:t> 724 932 328</w:t>
      </w:r>
      <w:r w:rsidRPr="00374588">
        <w:t xml:space="preserve">, e-mail: </w:t>
      </w:r>
      <w:hyperlink r:id="rId14" w:history="1">
        <w:r w:rsidRPr="00317836">
          <w:rPr>
            <w:rStyle w:val="Hypertextovodkaz"/>
          </w:rPr>
          <w:t>Simaliak@spravazeleznic.cz</w:t>
        </w:r>
      </w:hyperlink>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196E892F"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xml:space="preserve">]. Pokud podmínky záruky za provedení Díla specifikují datum její platnosti a Zhotovitel nezískal právo na obdržení Potvrzení o převzetí Díla a nepředal </w:t>
      </w:r>
      <w:r w:rsidRPr="00382BD8">
        <w:lastRenderedPageBreak/>
        <w:t>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1CD71B4C"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359B261" w:rsidR="00BF5650" w:rsidRPr="00382BD8" w:rsidRDefault="00BF5650" w:rsidP="00BF5650">
      <w:pPr>
        <w:spacing w:after="120"/>
        <w:jc w:val="both"/>
      </w:pPr>
      <w:r w:rsidRPr="00382BD8">
        <w:t xml:space="preserve">Objednatel není povinen uplatnit práva na čerpání ze záruky za provedení Díla. </w:t>
      </w:r>
    </w:p>
    <w:p w14:paraId="514A4546" w14:textId="0804811D"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proofErr w:type="gramStart"/>
      <w:r w:rsidRPr="00382BD8">
        <w:rPr>
          <w:b/>
        </w:rPr>
        <w:t xml:space="preserve">4.2.2  </w:t>
      </w:r>
      <w:r w:rsidRPr="00382BD8">
        <w:t>Text</w:t>
      </w:r>
      <w:proofErr w:type="gramEnd"/>
      <w:r w:rsidRPr="00382BD8">
        <w:t xml:space="preserve">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lastRenderedPageBreak/>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lastRenderedPageBreak/>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21EFE96D" w14:textId="7F8999BE" w:rsidR="00F34DA1" w:rsidRPr="002D7757" w:rsidRDefault="005B65FC" w:rsidP="00F34DA1">
      <w:pPr>
        <w:spacing w:after="120"/>
        <w:jc w:val="both"/>
        <w:rPr>
          <w:rFonts w:ascii="Verdana" w:hAnsi="Verdana"/>
        </w:rPr>
      </w:pPr>
      <w:r w:rsidRPr="005B65FC">
        <w:rPr>
          <w:rFonts w:ascii="Verdana" w:hAnsi="Verdana"/>
        </w:rPr>
        <w:t>Tento Pod-článek se nepoužije.</w:t>
      </w:r>
    </w:p>
    <w:p w14:paraId="38569E37" w14:textId="4EE0D248" w:rsidR="005B65FC" w:rsidRPr="00BE6657" w:rsidRDefault="00D05FFD" w:rsidP="00EC11FF">
      <w:pPr>
        <w:spacing w:after="120"/>
        <w:jc w:val="both"/>
        <w:rPr>
          <w:b/>
          <w:sz w:val="20"/>
          <w:szCs w:val="20"/>
        </w:rPr>
      </w:pPr>
      <w:r w:rsidRPr="00BE6657">
        <w:rPr>
          <w:b/>
          <w:sz w:val="20"/>
          <w:szCs w:val="20"/>
        </w:rPr>
        <w:t xml:space="preserve">4.4.4 </w:t>
      </w:r>
      <w:r w:rsidR="005B65FC" w:rsidRPr="00BE6657">
        <w:rPr>
          <w:b/>
          <w:sz w:val="20"/>
          <w:szCs w:val="20"/>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65752D05"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Zhotovitel poruší povinnost udržovat v platnosti a ve stanovené výši Bankovní záruku za odstranění vad Díla nebo Pojistnou záruku za odstranění vad Díla za podmínek a po dobu stanovenou v Pod-článku 4.2.2 [</w:t>
      </w:r>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proofErr w:type="gramStart"/>
      <w:r w:rsidRPr="005F4BFD">
        <w:rPr>
          <w:b/>
          <w:sz w:val="20"/>
          <w:szCs w:val="20"/>
        </w:rPr>
        <w:t xml:space="preserve">4.27  </w:t>
      </w:r>
      <w:r w:rsidR="004153A3" w:rsidRPr="005F4BFD">
        <w:rPr>
          <w:b/>
          <w:sz w:val="20"/>
          <w:szCs w:val="20"/>
        </w:rPr>
        <w:t>Výše</w:t>
      </w:r>
      <w:proofErr w:type="gramEnd"/>
      <w:r w:rsidR="004153A3" w:rsidRPr="005F4BFD">
        <w:rPr>
          <w:b/>
          <w:sz w:val="20"/>
          <w:szCs w:val="20"/>
        </w:rPr>
        <w:t xml:space="preserv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2F4E3015" w:rsidR="00C96E7C" w:rsidRDefault="00C96E7C" w:rsidP="005D168C">
      <w:pPr>
        <w:pStyle w:val="Textbezodsazen"/>
      </w:pPr>
      <w:r>
        <w:t>Zhotovitel je povinen uhradit smluvní pokutu ve výši 1</w:t>
      </w:r>
      <w:r w:rsidR="008910C9">
        <w:t xml:space="preserve"> </w:t>
      </w:r>
      <w:r>
        <w:t>%</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lastRenderedPageBreak/>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12244E24" w:rsidR="00C96E7C" w:rsidRDefault="00C96E7C" w:rsidP="005D168C">
      <w:pPr>
        <w:pStyle w:val="Textbezodsazen"/>
      </w:pPr>
      <w:r>
        <w:t>Zhotovitel je povinen uhradit smluvní pokutu za každý případ p</w:t>
      </w:r>
      <w:r w:rsidR="008B01FE">
        <w:t>orušení povinnosti ve výši 3</w:t>
      </w:r>
      <w:r w:rsidR="008910C9">
        <w:t xml:space="preserve"> </w:t>
      </w:r>
      <w:r w:rsidR="008B01FE">
        <w:t>%</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637FF610" w:rsidR="00C96E7C" w:rsidRPr="005B7883" w:rsidRDefault="00C96E7C" w:rsidP="005D168C">
      <w:pPr>
        <w:pStyle w:val="Textbezodsazen"/>
        <w:keepNext/>
        <w:rPr>
          <w:rStyle w:val="Tun"/>
        </w:rPr>
      </w:pPr>
      <w:r w:rsidRPr="005B7883">
        <w:rPr>
          <w:rStyle w:val="Tun"/>
        </w:rPr>
        <w:t>Pod-článek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lastRenderedPageBreak/>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5D186062" w:rsidR="00D136A2" w:rsidRDefault="00D136A2" w:rsidP="00D136A2">
      <w:pPr>
        <w:spacing w:after="120"/>
        <w:jc w:val="both"/>
      </w:pPr>
      <w:r>
        <w:t xml:space="preserve">Zhotovitel je </w:t>
      </w:r>
      <w:r w:rsidR="00330257">
        <w:t>povinen uhradit smluvní pokutu ve výši 1</w:t>
      </w:r>
      <w:r w:rsidR="008910C9">
        <w:t xml:space="preserve"> </w:t>
      </w:r>
      <w:r w:rsidR="00330257">
        <w:t>%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502D83F4" w14:textId="77777777" w:rsidR="00872369" w:rsidRPr="00872369" w:rsidRDefault="00872369" w:rsidP="00872369">
      <w:pPr>
        <w:spacing w:after="120"/>
        <w:jc w:val="both"/>
        <w:rPr>
          <w:rFonts w:ascii="Verdana" w:hAnsi="Verdana"/>
        </w:rPr>
      </w:pPr>
      <w:r w:rsidRPr="00872369">
        <w:rPr>
          <w:rFonts w:ascii="Verdana" w:hAnsi="Verdana"/>
        </w:rPr>
        <w:t xml:space="preserve">Pro provádění Díla nejsou stanoveny žádné postupné milníky. </w:t>
      </w:r>
    </w:p>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06F2B54" w14:textId="77777777" w:rsidR="00262343" w:rsidRDefault="00262343" w:rsidP="00262343">
      <w:pPr>
        <w:pStyle w:val="Odrka1-1"/>
        <w:numPr>
          <w:ilvl w:val="0"/>
          <w:numId w:val="0"/>
        </w:numPr>
        <w:tabs>
          <w:tab w:val="left" w:pos="708"/>
        </w:tabs>
        <w:spacing w:before="120"/>
      </w:pP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5AAE1E5E" w14:textId="77777777" w:rsidR="00262343" w:rsidRDefault="00262343" w:rsidP="005D168C">
      <w:pPr>
        <w:pStyle w:val="Textbezslovn"/>
      </w:pP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 xml:space="preserve">více než 1 hodinu bez předchozího podání </w:t>
      </w:r>
      <w:r>
        <w:lastRenderedPageBreak/>
        <w:t>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 xml:space="preserve">výluka staničních </w:t>
      </w:r>
      <w:proofErr w:type="gramStart"/>
      <w:r>
        <w:t>kolejí - dopravní</w:t>
      </w:r>
      <w:proofErr w:type="gramEnd"/>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186BDEC5"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BF417E">
        <w:t>90</w:t>
      </w:r>
      <w:r w:rsidR="009B6B4D">
        <w:t xml:space="preserve"> dní od Data zahájení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57FD4DCF" w14:textId="2534F5EB" w:rsidR="00DF14DB" w:rsidRDefault="00C96E7C" w:rsidP="005D168C">
      <w:pPr>
        <w:pStyle w:val="Textbezodsazen"/>
      </w:pPr>
      <w:r>
        <w:t xml:space="preserve">Zhotovitel je povinen dokončit celé Dílo včetně příslušné dokumentace dle pod-článku 7.9 </w:t>
      </w:r>
      <w:r w:rsidRPr="00E958AF">
        <w:rPr>
          <w:b/>
          <w:bCs/>
        </w:rPr>
        <w:t>do</w:t>
      </w:r>
      <w:r w:rsidR="005D168C" w:rsidRPr="00E958AF">
        <w:rPr>
          <w:b/>
          <w:bCs/>
        </w:rPr>
        <w:t xml:space="preserve"> </w:t>
      </w:r>
      <w:r w:rsidR="00E958AF" w:rsidRPr="00E958AF">
        <w:rPr>
          <w:b/>
          <w:bCs/>
        </w:rPr>
        <w:t>28 měsíců</w:t>
      </w:r>
      <w:r w:rsidR="003825B0" w:rsidRPr="00E958AF">
        <w:rPr>
          <w:b/>
          <w:bCs/>
        </w:rPr>
        <w:t xml:space="preserve"> </w:t>
      </w:r>
      <w:r>
        <w:t>od Data zahájení prací.</w:t>
      </w:r>
    </w:p>
    <w:p w14:paraId="2B9ED09F" w14:textId="1FBD14EF" w:rsidR="00C96E7C" w:rsidRDefault="00C96E7C" w:rsidP="009D228B">
      <w:pPr>
        <w:pStyle w:val="Nadpisbezsl1-2"/>
      </w:pPr>
      <w:r>
        <w:t>8.2, 1.1.3.10</w:t>
      </w:r>
      <w:r w:rsidR="009D228B">
        <w:tab/>
      </w:r>
      <w:r>
        <w:t>Doba pro uvedení do provozu</w:t>
      </w:r>
    </w:p>
    <w:p w14:paraId="06B6361D" w14:textId="05B1070A" w:rsidR="00C96E7C" w:rsidRDefault="00C96E7C" w:rsidP="005D168C">
      <w:pPr>
        <w:pStyle w:val="Textbezodsazen"/>
      </w:pPr>
      <w:r w:rsidRPr="00BF417E">
        <w:t>Zhotovitel je povinen dokončit Sekc</w:t>
      </w:r>
      <w:r w:rsidR="00BF417E" w:rsidRPr="00BF417E">
        <w:t>i 2 Stavební</w:t>
      </w:r>
      <w:r w:rsidR="00582C15" w:rsidRPr="00BF417E">
        <w:t xml:space="preserve"> v </w:t>
      </w:r>
      <w:r w:rsidRPr="00BF417E">
        <w:t xml:space="preserve">rozsahu nezbytném pro účely uvedení Díla nebo Sekce do provozu za podmínek </w:t>
      </w:r>
      <w:r w:rsidR="004525C2" w:rsidRPr="00BF417E">
        <w:t>zákona č. 283/2021 Sb. Stavební zákon, platný od 01. 01. 2024 (dále též jen „NSZ“), a zákona č.</w:t>
      </w:r>
      <w:r w:rsidR="008910C9">
        <w:t xml:space="preserve"> </w:t>
      </w:r>
      <w:r w:rsidR="004525C2" w:rsidRPr="00BF417E">
        <w:t xml:space="preserve">266/1994 Sb., o dráhách, </w:t>
      </w:r>
      <w:r w:rsidRPr="00BF417E">
        <w:t xml:space="preserve">nejpozději </w:t>
      </w:r>
      <w:r w:rsidRPr="00BF417E">
        <w:rPr>
          <w:b/>
          <w:bCs/>
        </w:rPr>
        <w:t xml:space="preserve">do </w:t>
      </w:r>
      <w:r w:rsidR="00BF417E" w:rsidRPr="00BF417E">
        <w:rPr>
          <w:b/>
          <w:bCs/>
        </w:rPr>
        <w:t>22</w:t>
      </w:r>
      <w:r w:rsidRPr="00BF417E">
        <w:rPr>
          <w:b/>
          <w:bCs/>
        </w:rPr>
        <w:t xml:space="preserve"> měsíců</w:t>
      </w:r>
      <w:r w:rsidRPr="00BF417E">
        <w:t xml:space="preserve"> od Data zahájení prací.</w:t>
      </w:r>
    </w:p>
    <w:p w14:paraId="0BFB6B56" w14:textId="77777777" w:rsidR="00C96E7C" w:rsidRDefault="00C96E7C" w:rsidP="009D228B">
      <w:pPr>
        <w:pStyle w:val="Nadpisbezsl1-2"/>
      </w:pPr>
      <w:proofErr w:type="gramStart"/>
      <w:r>
        <w:t>8.7  Náhrada</w:t>
      </w:r>
      <w:proofErr w:type="gramEnd"/>
      <w:r>
        <w:t xml:space="preserve">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lastRenderedPageBreak/>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proofErr w:type="spellStart"/>
      <w:r w:rsidR="00432CCA" w:rsidRPr="004456AB">
        <w:rPr>
          <w:b w:val="0"/>
          <w:sz w:val="18"/>
          <w:szCs w:val="18"/>
        </w:rPr>
        <w:t>uje</w:t>
      </w:r>
      <w:proofErr w:type="spellEnd"/>
      <w:r w:rsidR="00432CCA" w:rsidRPr="004456AB">
        <w:rPr>
          <w:b w:val="0"/>
          <w:sz w:val="18"/>
          <w:szCs w:val="18"/>
        </w:rPr>
        <w:t xml:space="preserv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456B56B2"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poté, co došlo k plnění z Bankovní záruky za zálohu nebo Pojistné záruky za zálohu výstavcem</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58E5D252" w:rsidR="00C96E7C" w:rsidRDefault="0086427D" w:rsidP="00582C15">
      <w:pPr>
        <w:pStyle w:val="Textbezodsazen"/>
      </w:pPr>
      <w:r>
        <w:lastRenderedPageBreak/>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r>
        <w:t xml:space="preserve">9 </w:t>
      </w:r>
      <w:r w:rsidR="00005616">
        <w:t>Smlouvy</w:t>
      </w:r>
      <w:r w:rsidR="00582C15">
        <w:t xml:space="preserve"> o </w:t>
      </w:r>
      <w:r w:rsidR="00C96E7C">
        <w:t xml:space="preserve">dílo.  </w:t>
      </w:r>
    </w:p>
    <w:p w14:paraId="362BC261" w14:textId="4240CEC8"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w:t>
      </w:r>
      <w:r w:rsidRPr="00E958AF">
        <w:t xml:space="preserve">rovnající se </w:t>
      </w:r>
      <w:r w:rsidR="00E958AF" w:rsidRPr="00E958AF">
        <w:t>20</w:t>
      </w:r>
      <w:r w:rsidRPr="00E958AF">
        <w:t xml:space="preserve"> %</w:t>
      </w:r>
      <w:r w:rsidR="00E958AF" w:rsidRPr="00E958AF">
        <w:t xml:space="preserve"> </w:t>
      </w:r>
      <w:r w:rsidRPr="00E958AF">
        <w:t>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27D6C768"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BF417E">
        <w:t>,</w:t>
      </w:r>
      <w:r w:rsidR="00582C15">
        <w:t xml:space="preserve"> v</w:t>
      </w:r>
      <w:r w:rsidR="00BF417E">
        <w:t> </w:t>
      </w:r>
      <w:r>
        <w:t>průběhu</w:t>
      </w:r>
      <w:r w:rsidR="00BF417E">
        <w:t>,</w:t>
      </w:r>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lastRenderedPageBreak/>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A3FF1FC" w14:textId="77777777" w:rsidR="00C96E7C" w:rsidRDefault="00C96E7C" w:rsidP="00582C15">
      <w:pPr>
        <w:pStyle w:val="Textbezodsazen"/>
      </w:pPr>
      <w:r>
        <w:t xml:space="preserve">Celkový součet požadovaných zálohových plateb nesmí překročit Smluvní cenu. </w:t>
      </w:r>
    </w:p>
    <w:p w14:paraId="12332BF6" w14:textId="458B5164" w:rsidR="00C96E7C" w:rsidRDefault="00C96E7C" w:rsidP="009D228B">
      <w:pPr>
        <w:pStyle w:val="Nadpisbezsl1-2"/>
      </w:pPr>
      <w:proofErr w:type="gramStart"/>
      <w:r>
        <w:t>14.5  Technologické</w:t>
      </w:r>
      <w:proofErr w:type="gramEnd"/>
      <w:r>
        <w:t xml:space="preserve"> materiály určené pro dílo</w:t>
      </w:r>
    </w:p>
    <w:p w14:paraId="091E8458" w14:textId="77777777" w:rsidR="00EC1B78" w:rsidRPr="00E53067" w:rsidRDefault="00C96E7C" w:rsidP="00582C15">
      <w:pPr>
        <w:pStyle w:val="Textbezodsazen"/>
      </w:pPr>
      <w:r w:rsidRPr="00E53067">
        <w:t>Technologické zařízení</w:t>
      </w:r>
      <w:r w:rsidR="00582C15" w:rsidRPr="00E53067">
        <w:t xml:space="preserve"> a </w:t>
      </w:r>
      <w:r w:rsidRPr="00E53067">
        <w:t>Materiály</w:t>
      </w:r>
      <w:r w:rsidR="00582C15" w:rsidRPr="00E53067">
        <w:t xml:space="preserve"> </w:t>
      </w:r>
    </w:p>
    <w:p w14:paraId="72C7D9C4" w14:textId="77777777" w:rsidR="00C96E7C" w:rsidRPr="00E53067" w:rsidRDefault="00582C15" w:rsidP="00582C15">
      <w:pPr>
        <w:pStyle w:val="Textbezodsazen"/>
      </w:pPr>
      <w:r w:rsidRPr="00E53067">
        <w:t>k </w:t>
      </w:r>
      <w:r w:rsidR="00C96E7C" w:rsidRPr="00E53067">
        <w:t>zaplacení po dodání na Staveniště 14.5 (c)</w:t>
      </w:r>
    </w:p>
    <w:p w14:paraId="133E255E" w14:textId="14AFBF9F" w:rsidR="00E53067" w:rsidRPr="00BD1193" w:rsidRDefault="00E53067" w:rsidP="00E53067">
      <w:pPr>
        <w:numPr>
          <w:ilvl w:val="0"/>
          <w:numId w:val="56"/>
        </w:numPr>
        <w:spacing w:after="120"/>
        <w:jc w:val="both"/>
        <w:rPr>
          <w:i/>
          <w:iCs/>
        </w:rPr>
      </w:pPr>
      <w:r w:rsidRPr="00BD1193">
        <w:rPr>
          <w:i/>
          <w:iCs/>
        </w:rPr>
        <w:t>mosty (ocelové prvky nosných konstrukcí, vybavení mostních objektů, izolační systémy);</w:t>
      </w:r>
    </w:p>
    <w:p w14:paraId="522C3DFF" w14:textId="77777777" w:rsidR="00E53067" w:rsidRPr="00BD1193" w:rsidRDefault="00E53067" w:rsidP="00E53067">
      <w:pPr>
        <w:numPr>
          <w:ilvl w:val="0"/>
          <w:numId w:val="56"/>
        </w:numPr>
        <w:spacing w:after="120"/>
        <w:jc w:val="both"/>
        <w:rPr>
          <w:i/>
          <w:iCs/>
        </w:rPr>
      </w:pPr>
      <w:r w:rsidRPr="00BD1193">
        <w:rPr>
          <w:i/>
          <w:iCs/>
        </w:rPr>
        <w:t>zabezpečovací zařízení (kabelové vedení);</w:t>
      </w:r>
    </w:p>
    <w:p w14:paraId="065337FB" w14:textId="77777777" w:rsidR="00E53067" w:rsidRDefault="00E53067" w:rsidP="00E53067">
      <w:pPr>
        <w:numPr>
          <w:ilvl w:val="0"/>
          <w:numId w:val="56"/>
        </w:numPr>
        <w:spacing w:after="120"/>
        <w:jc w:val="both"/>
        <w:rPr>
          <w:i/>
          <w:iCs/>
        </w:rPr>
      </w:pPr>
      <w:r w:rsidRPr="00BD1193">
        <w:rPr>
          <w:i/>
          <w:iCs/>
        </w:rPr>
        <w:t>sdělovací zařízení (kabelové vedení);</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7A06F5BC" w14:textId="751E4253" w:rsidR="00C96E7C" w:rsidRDefault="00C96E7C" w:rsidP="00582C15">
      <w:pPr>
        <w:pStyle w:val="Textbezodsazen"/>
        <w:rPr>
          <w:highlight w:val="green"/>
        </w:rPr>
      </w:pPr>
      <w:r>
        <w:t>Minimální částka Potvrzení průběžné platby není stanovena.</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lastRenderedPageBreak/>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F950C" w14:textId="77777777" w:rsidR="00EA7576" w:rsidRDefault="00EA7576" w:rsidP="00962258">
      <w:pPr>
        <w:spacing w:after="0" w:line="240" w:lineRule="auto"/>
      </w:pPr>
      <w:r>
        <w:separator/>
      </w:r>
    </w:p>
  </w:endnote>
  <w:endnote w:type="continuationSeparator" w:id="0">
    <w:p w14:paraId="0E55534F" w14:textId="77777777" w:rsidR="00EA7576" w:rsidRDefault="00EA75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21AB0ECA"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2F6041">
            <w:rPr>
              <w:rStyle w:val="Tun"/>
              <w:noProof/>
            </w:rPr>
            <w:t>„Rekonstrukce úseku tratě Opava Východ – Kravaře ve Slezsku“</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7DA5D4B3"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2F6041">
            <w:rPr>
              <w:rStyle w:val="Tun"/>
              <w:noProof/>
            </w:rPr>
            <w:t>„Rekonstrukce úseku tratě Opava Východ – Kravaře ve Slezsku“</w:t>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407D6" w14:textId="77777777" w:rsidR="00EA7576" w:rsidRDefault="00EA7576" w:rsidP="00962258">
      <w:pPr>
        <w:spacing w:after="0" w:line="240" w:lineRule="auto"/>
      </w:pPr>
      <w:r>
        <w:separator/>
      </w:r>
    </w:p>
  </w:footnote>
  <w:footnote w:type="continuationSeparator" w:id="0">
    <w:p w14:paraId="4FC7BE42" w14:textId="77777777" w:rsidR="00EA7576" w:rsidRDefault="00EA75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tcMar>
            <w:left w:w="0" w:type="dxa"/>
            <w:right w:w="0" w:type="dxa"/>
          </w:tcMar>
        </w:tcPr>
        <w:p w14:paraId="12890810" w14:textId="77777777" w:rsidR="009D228B" w:rsidRDefault="009D228B" w:rsidP="00FC6389">
          <w:pPr>
            <w:pStyle w:val="Zpat"/>
          </w:pPr>
        </w:p>
      </w:tc>
      <w:tc>
        <w:tcPr>
          <w:tcW w:w="5756" w:type="dxa"/>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tcMar>
            <w:left w:w="0" w:type="dxa"/>
            <w:right w:w="0" w:type="dxa"/>
          </w:tcMar>
        </w:tcPr>
        <w:p w14:paraId="43BD79CA" w14:textId="77777777" w:rsidR="009D228B" w:rsidRDefault="009D228B" w:rsidP="00FC6389">
          <w:pPr>
            <w:pStyle w:val="Zpat"/>
          </w:pPr>
        </w:p>
      </w:tc>
      <w:tc>
        <w:tcPr>
          <w:tcW w:w="5756" w:type="dxa"/>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ED51A05"/>
    <w:multiLevelType w:val="hybridMultilevel"/>
    <w:tmpl w:val="C2F6CBBA"/>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767235808">
    <w:abstractNumId w:val="6"/>
  </w:num>
  <w:num w:numId="2" w16cid:durableId="2097088598">
    <w:abstractNumId w:val="2"/>
  </w:num>
  <w:num w:numId="3" w16cid:durableId="103497167">
    <w:abstractNumId w:val="15"/>
  </w:num>
  <w:num w:numId="4" w16cid:durableId="807361447">
    <w:abstractNumId w:val="7"/>
  </w:num>
  <w:num w:numId="5" w16cid:durableId="18181043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22712817">
    <w:abstractNumId w:val="9"/>
  </w:num>
  <w:num w:numId="7" w16cid:durableId="522940545">
    <w:abstractNumId w:val="12"/>
  </w:num>
  <w:num w:numId="8" w16cid:durableId="789323327">
    <w:abstractNumId w:val="14"/>
  </w:num>
  <w:num w:numId="9" w16cid:durableId="1201822054">
    <w:abstractNumId w:val="0"/>
  </w:num>
  <w:num w:numId="10" w16cid:durableId="1763913859">
    <w:abstractNumId w:val="4"/>
  </w:num>
  <w:num w:numId="11" w16cid:durableId="1529370679">
    <w:abstractNumId w:val="16"/>
  </w:num>
  <w:num w:numId="12" w16cid:durableId="1260984273">
    <w:abstractNumId w:val="0"/>
  </w:num>
  <w:num w:numId="13" w16cid:durableId="1006640932">
    <w:abstractNumId w:val="4"/>
  </w:num>
  <w:num w:numId="14" w16cid:durableId="1669090036">
    <w:abstractNumId w:val="4"/>
  </w:num>
  <w:num w:numId="15" w16cid:durableId="1659071706">
    <w:abstractNumId w:val="9"/>
  </w:num>
  <w:num w:numId="16" w16cid:durableId="1954634169">
    <w:abstractNumId w:val="9"/>
  </w:num>
  <w:num w:numId="17" w16cid:durableId="105973397">
    <w:abstractNumId w:val="9"/>
  </w:num>
  <w:num w:numId="18" w16cid:durableId="1914661864">
    <w:abstractNumId w:val="12"/>
  </w:num>
  <w:num w:numId="19" w16cid:durableId="513812106">
    <w:abstractNumId w:val="12"/>
  </w:num>
  <w:num w:numId="20" w16cid:durableId="1276981625">
    <w:abstractNumId w:val="12"/>
  </w:num>
  <w:num w:numId="21" w16cid:durableId="301347151">
    <w:abstractNumId w:val="14"/>
  </w:num>
  <w:num w:numId="22" w16cid:durableId="576213730">
    <w:abstractNumId w:val="0"/>
  </w:num>
  <w:num w:numId="23" w16cid:durableId="1810708355">
    <w:abstractNumId w:val="0"/>
  </w:num>
  <w:num w:numId="24" w16cid:durableId="74788643">
    <w:abstractNumId w:val="4"/>
  </w:num>
  <w:num w:numId="25" w16cid:durableId="477841564">
    <w:abstractNumId w:val="4"/>
  </w:num>
  <w:num w:numId="26" w16cid:durableId="1629777656">
    <w:abstractNumId w:val="16"/>
  </w:num>
  <w:num w:numId="27" w16cid:durableId="778139873">
    <w:abstractNumId w:val="5"/>
  </w:num>
  <w:num w:numId="28" w16cid:durableId="156386893">
    <w:abstractNumId w:val="0"/>
  </w:num>
  <w:num w:numId="29" w16cid:durableId="541285040">
    <w:abstractNumId w:val="4"/>
  </w:num>
  <w:num w:numId="30" w16cid:durableId="41057622">
    <w:abstractNumId w:val="4"/>
  </w:num>
  <w:num w:numId="31" w16cid:durableId="525023887">
    <w:abstractNumId w:val="9"/>
  </w:num>
  <w:num w:numId="32" w16cid:durableId="534856096">
    <w:abstractNumId w:val="9"/>
  </w:num>
  <w:num w:numId="33" w16cid:durableId="97599483">
    <w:abstractNumId w:val="9"/>
  </w:num>
  <w:num w:numId="34" w16cid:durableId="1774276918">
    <w:abstractNumId w:val="9"/>
  </w:num>
  <w:num w:numId="35" w16cid:durableId="1405107141">
    <w:abstractNumId w:val="12"/>
  </w:num>
  <w:num w:numId="36" w16cid:durableId="2043434704">
    <w:abstractNumId w:val="12"/>
  </w:num>
  <w:num w:numId="37" w16cid:durableId="1673220748">
    <w:abstractNumId w:val="12"/>
  </w:num>
  <w:num w:numId="38" w16cid:durableId="1096098972">
    <w:abstractNumId w:val="12"/>
  </w:num>
  <w:num w:numId="39" w16cid:durableId="1549220618">
    <w:abstractNumId w:val="14"/>
  </w:num>
  <w:num w:numId="40" w16cid:durableId="1454865981">
    <w:abstractNumId w:val="0"/>
  </w:num>
  <w:num w:numId="41" w16cid:durableId="2055500537">
    <w:abstractNumId w:val="0"/>
  </w:num>
  <w:num w:numId="42" w16cid:durableId="1886529617">
    <w:abstractNumId w:val="4"/>
  </w:num>
  <w:num w:numId="43" w16cid:durableId="1037968181">
    <w:abstractNumId w:val="4"/>
  </w:num>
  <w:num w:numId="44" w16cid:durableId="1881624340">
    <w:abstractNumId w:val="16"/>
  </w:num>
  <w:num w:numId="45" w16cid:durableId="1798639063">
    <w:abstractNumId w:val="10"/>
  </w:num>
  <w:num w:numId="46" w16cid:durableId="2063364061">
    <w:abstractNumId w:val="13"/>
  </w:num>
  <w:num w:numId="47" w16cid:durableId="1388341287">
    <w:abstractNumId w:val="17"/>
  </w:num>
  <w:num w:numId="48" w16cid:durableId="652757082">
    <w:abstractNumId w:val="17"/>
    <w:lvlOverride w:ilvl="0">
      <w:startOverride w:val="1"/>
    </w:lvlOverride>
  </w:num>
  <w:num w:numId="49" w16cid:durableId="874972104">
    <w:abstractNumId w:val="8"/>
  </w:num>
  <w:num w:numId="50" w16cid:durableId="1013385888">
    <w:abstractNumId w:val="1"/>
  </w:num>
  <w:num w:numId="51" w16cid:durableId="1979603000">
    <w:abstractNumId w:val="3"/>
  </w:num>
  <w:num w:numId="52" w16cid:durableId="2113550671">
    <w:abstractNumId w:val="1"/>
    <w:lvlOverride w:ilvl="0">
      <w:startOverride w:val="1"/>
    </w:lvlOverride>
  </w:num>
  <w:num w:numId="53" w16cid:durableId="952588694">
    <w:abstractNumId w:val="1"/>
    <w:lvlOverride w:ilvl="0">
      <w:startOverride w:val="1"/>
    </w:lvlOverride>
  </w:num>
  <w:num w:numId="54" w16cid:durableId="1803964729">
    <w:abstractNumId w:val="1"/>
    <w:lvlOverride w:ilvl="0">
      <w:startOverride w:val="1"/>
    </w:lvlOverride>
  </w:num>
  <w:num w:numId="55" w16cid:durableId="650327438">
    <w:abstractNumId w:val="1"/>
    <w:lvlOverride w:ilvl="0">
      <w:startOverride w:val="1"/>
    </w:lvlOverride>
  </w:num>
  <w:num w:numId="56" w16cid:durableId="1857110824">
    <w:abstractNumId w:val="1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5F79"/>
    <w:rsid w:val="000309DC"/>
    <w:rsid w:val="00041EC8"/>
    <w:rsid w:val="000506AF"/>
    <w:rsid w:val="000514D0"/>
    <w:rsid w:val="00054936"/>
    <w:rsid w:val="0006588D"/>
    <w:rsid w:val="00067A5E"/>
    <w:rsid w:val="00067F07"/>
    <w:rsid w:val="000719BB"/>
    <w:rsid w:val="00071A0E"/>
    <w:rsid w:val="00071E6C"/>
    <w:rsid w:val="00072A65"/>
    <w:rsid w:val="00072C1E"/>
    <w:rsid w:val="00076341"/>
    <w:rsid w:val="000854BE"/>
    <w:rsid w:val="000A67E3"/>
    <w:rsid w:val="000B15D3"/>
    <w:rsid w:val="000B2816"/>
    <w:rsid w:val="000B4EB8"/>
    <w:rsid w:val="000C30FF"/>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2473"/>
    <w:rsid w:val="00152D40"/>
    <w:rsid w:val="0015463F"/>
    <w:rsid w:val="00155906"/>
    <w:rsid w:val="001566A1"/>
    <w:rsid w:val="00156F97"/>
    <w:rsid w:val="001615B1"/>
    <w:rsid w:val="001656A2"/>
    <w:rsid w:val="00167E02"/>
    <w:rsid w:val="00170EC5"/>
    <w:rsid w:val="00172A44"/>
    <w:rsid w:val="001747C1"/>
    <w:rsid w:val="001748FA"/>
    <w:rsid w:val="0017695A"/>
    <w:rsid w:val="00177D6B"/>
    <w:rsid w:val="00181A46"/>
    <w:rsid w:val="00183A3F"/>
    <w:rsid w:val="00185FEC"/>
    <w:rsid w:val="00191449"/>
    <w:rsid w:val="00191F90"/>
    <w:rsid w:val="001A06CC"/>
    <w:rsid w:val="001B4678"/>
    <w:rsid w:val="001B4E74"/>
    <w:rsid w:val="001C0C02"/>
    <w:rsid w:val="001C524E"/>
    <w:rsid w:val="001C645F"/>
    <w:rsid w:val="001D3D61"/>
    <w:rsid w:val="001E3C56"/>
    <w:rsid w:val="001E678E"/>
    <w:rsid w:val="001F20C0"/>
    <w:rsid w:val="001F34A6"/>
    <w:rsid w:val="00205545"/>
    <w:rsid w:val="002071BB"/>
    <w:rsid w:val="00207DF5"/>
    <w:rsid w:val="00215AF3"/>
    <w:rsid w:val="0023464E"/>
    <w:rsid w:val="00235D7C"/>
    <w:rsid w:val="00240B81"/>
    <w:rsid w:val="00244767"/>
    <w:rsid w:val="00245C9C"/>
    <w:rsid w:val="00247D01"/>
    <w:rsid w:val="00252B62"/>
    <w:rsid w:val="00257246"/>
    <w:rsid w:val="00261A5B"/>
    <w:rsid w:val="00262343"/>
    <w:rsid w:val="00262E5B"/>
    <w:rsid w:val="002654D1"/>
    <w:rsid w:val="002654D9"/>
    <w:rsid w:val="00276AFE"/>
    <w:rsid w:val="0028337C"/>
    <w:rsid w:val="00295BD1"/>
    <w:rsid w:val="00297B4E"/>
    <w:rsid w:val="002A3B57"/>
    <w:rsid w:val="002B06D2"/>
    <w:rsid w:val="002C31BF"/>
    <w:rsid w:val="002D0977"/>
    <w:rsid w:val="002D7757"/>
    <w:rsid w:val="002D7BD2"/>
    <w:rsid w:val="002D7FD6"/>
    <w:rsid w:val="002E0CD7"/>
    <w:rsid w:val="002E0CFB"/>
    <w:rsid w:val="002E3A3F"/>
    <w:rsid w:val="002E5C7B"/>
    <w:rsid w:val="002F4333"/>
    <w:rsid w:val="002F6041"/>
    <w:rsid w:val="003013A6"/>
    <w:rsid w:val="0030182C"/>
    <w:rsid w:val="00301E9E"/>
    <w:rsid w:val="00316A98"/>
    <w:rsid w:val="00324B56"/>
    <w:rsid w:val="00327EEF"/>
    <w:rsid w:val="00330257"/>
    <w:rsid w:val="0033239F"/>
    <w:rsid w:val="0034274B"/>
    <w:rsid w:val="003451AB"/>
    <w:rsid w:val="0034719F"/>
    <w:rsid w:val="00350A35"/>
    <w:rsid w:val="00352421"/>
    <w:rsid w:val="003571D8"/>
    <w:rsid w:val="00357BC6"/>
    <w:rsid w:val="003610C9"/>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1246"/>
    <w:rsid w:val="003A1F7A"/>
    <w:rsid w:val="003C33F2"/>
    <w:rsid w:val="003C5EBD"/>
    <w:rsid w:val="003D756E"/>
    <w:rsid w:val="003E420D"/>
    <w:rsid w:val="003E4C13"/>
    <w:rsid w:val="004001A6"/>
    <w:rsid w:val="00403788"/>
    <w:rsid w:val="004078F3"/>
    <w:rsid w:val="004153A3"/>
    <w:rsid w:val="004220DE"/>
    <w:rsid w:val="0042532F"/>
    <w:rsid w:val="00427794"/>
    <w:rsid w:val="00432CCA"/>
    <w:rsid w:val="00441B4D"/>
    <w:rsid w:val="004456AB"/>
    <w:rsid w:val="00450F07"/>
    <w:rsid w:val="004525C2"/>
    <w:rsid w:val="00453CD3"/>
    <w:rsid w:val="00457A0F"/>
    <w:rsid w:val="00457E1E"/>
    <w:rsid w:val="00460660"/>
    <w:rsid w:val="00463825"/>
    <w:rsid w:val="00464BA9"/>
    <w:rsid w:val="00465C0C"/>
    <w:rsid w:val="00465F51"/>
    <w:rsid w:val="004718E5"/>
    <w:rsid w:val="0047485E"/>
    <w:rsid w:val="00483969"/>
    <w:rsid w:val="00486107"/>
    <w:rsid w:val="00486178"/>
    <w:rsid w:val="00487010"/>
    <w:rsid w:val="00491827"/>
    <w:rsid w:val="004C4399"/>
    <w:rsid w:val="004C4830"/>
    <w:rsid w:val="004C787C"/>
    <w:rsid w:val="004E0643"/>
    <w:rsid w:val="004E7A1F"/>
    <w:rsid w:val="004F4B9B"/>
    <w:rsid w:val="004F5923"/>
    <w:rsid w:val="00505A88"/>
    <w:rsid w:val="0050666E"/>
    <w:rsid w:val="00511AB9"/>
    <w:rsid w:val="00515B28"/>
    <w:rsid w:val="00523BB5"/>
    <w:rsid w:val="00523EA7"/>
    <w:rsid w:val="005269D4"/>
    <w:rsid w:val="005350DE"/>
    <w:rsid w:val="005406EB"/>
    <w:rsid w:val="00553375"/>
    <w:rsid w:val="00555884"/>
    <w:rsid w:val="00566539"/>
    <w:rsid w:val="005736B7"/>
    <w:rsid w:val="00574927"/>
    <w:rsid w:val="00575E5A"/>
    <w:rsid w:val="00580245"/>
    <w:rsid w:val="00582C15"/>
    <w:rsid w:val="005835D0"/>
    <w:rsid w:val="005841B5"/>
    <w:rsid w:val="0058473B"/>
    <w:rsid w:val="005A1F44"/>
    <w:rsid w:val="005B65FC"/>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6F3E"/>
    <w:rsid w:val="0063642B"/>
    <w:rsid w:val="00643B60"/>
    <w:rsid w:val="00647AC6"/>
    <w:rsid w:val="006527EE"/>
    <w:rsid w:val="0065610E"/>
    <w:rsid w:val="00656725"/>
    <w:rsid w:val="006575AF"/>
    <w:rsid w:val="00660AD3"/>
    <w:rsid w:val="00664E1A"/>
    <w:rsid w:val="00671A0C"/>
    <w:rsid w:val="00673405"/>
    <w:rsid w:val="00673932"/>
    <w:rsid w:val="006776B6"/>
    <w:rsid w:val="00680727"/>
    <w:rsid w:val="00693150"/>
    <w:rsid w:val="006A2EB6"/>
    <w:rsid w:val="006A5570"/>
    <w:rsid w:val="006A689C"/>
    <w:rsid w:val="006B048A"/>
    <w:rsid w:val="006B2126"/>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10723"/>
    <w:rsid w:val="007108AA"/>
    <w:rsid w:val="00720F1A"/>
    <w:rsid w:val="00723ED1"/>
    <w:rsid w:val="00730A60"/>
    <w:rsid w:val="00740AF5"/>
    <w:rsid w:val="00743525"/>
    <w:rsid w:val="007541A2"/>
    <w:rsid w:val="00755818"/>
    <w:rsid w:val="007610BA"/>
    <w:rsid w:val="0076286B"/>
    <w:rsid w:val="00766846"/>
    <w:rsid w:val="0077673A"/>
    <w:rsid w:val="007846E1"/>
    <w:rsid w:val="007847D6"/>
    <w:rsid w:val="007A172F"/>
    <w:rsid w:val="007A5172"/>
    <w:rsid w:val="007A67A0"/>
    <w:rsid w:val="007B065A"/>
    <w:rsid w:val="007B37D3"/>
    <w:rsid w:val="007B570C"/>
    <w:rsid w:val="007D05EA"/>
    <w:rsid w:val="007D4C3D"/>
    <w:rsid w:val="007D6B63"/>
    <w:rsid w:val="007D7136"/>
    <w:rsid w:val="007E4A6E"/>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602BD"/>
    <w:rsid w:val="00861D84"/>
    <w:rsid w:val="0086427D"/>
    <w:rsid w:val="00870145"/>
    <w:rsid w:val="00871FAC"/>
    <w:rsid w:val="00872369"/>
    <w:rsid w:val="008736AD"/>
    <w:rsid w:val="00874A95"/>
    <w:rsid w:val="008825B2"/>
    <w:rsid w:val="008850CB"/>
    <w:rsid w:val="008910C9"/>
    <w:rsid w:val="00896E6B"/>
    <w:rsid w:val="00897A52"/>
    <w:rsid w:val="008A3568"/>
    <w:rsid w:val="008B01FE"/>
    <w:rsid w:val="008B0618"/>
    <w:rsid w:val="008B6FA1"/>
    <w:rsid w:val="008C45C2"/>
    <w:rsid w:val="008C50F3"/>
    <w:rsid w:val="008C5235"/>
    <w:rsid w:val="008C6302"/>
    <w:rsid w:val="008C7EFE"/>
    <w:rsid w:val="008D03B9"/>
    <w:rsid w:val="008D0BE3"/>
    <w:rsid w:val="008D10F5"/>
    <w:rsid w:val="008D30C7"/>
    <w:rsid w:val="008E4D1B"/>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78B7"/>
    <w:rsid w:val="00992D9C"/>
    <w:rsid w:val="00994193"/>
    <w:rsid w:val="00996CB8"/>
    <w:rsid w:val="009A1658"/>
    <w:rsid w:val="009A46AB"/>
    <w:rsid w:val="009B2E97"/>
    <w:rsid w:val="009B5146"/>
    <w:rsid w:val="009B641A"/>
    <w:rsid w:val="009B6B4D"/>
    <w:rsid w:val="009C386C"/>
    <w:rsid w:val="009C418E"/>
    <w:rsid w:val="009C442C"/>
    <w:rsid w:val="009D228B"/>
    <w:rsid w:val="009D75A4"/>
    <w:rsid w:val="009E07F4"/>
    <w:rsid w:val="009F0BC6"/>
    <w:rsid w:val="009F309B"/>
    <w:rsid w:val="009F392E"/>
    <w:rsid w:val="009F53C5"/>
    <w:rsid w:val="00A018CF"/>
    <w:rsid w:val="00A03A50"/>
    <w:rsid w:val="00A054A8"/>
    <w:rsid w:val="00A0740E"/>
    <w:rsid w:val="00A318A8"/>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60896"/>
    <w:rsid w:val="00B63D86"/>
    <w:rsid w:val="00B75EE1"/>
    <w:rsid w:val="00B77481"/>
    <w:rsid w:val="00B8518B"/>
    <w:rsid w:val="00B93136"/>
    <w:rsid w:val="00B97CC3"/>
    <w:rsid w:val="00BA0EBA"/>
    <w:rsid w:val="00BC05F2"/>
    <w:rsid w:val="00BC06C4"/>
    <w:rsid w:val="00BD7E91"/>
    <w:rsid w:val="00BD7F0D"/>
    <w:rsid w:val="00BE6657"/>
    <w:rsid w:val="00BF417E"/>
    <w:rsid w:val="00BF47B2"/>
    <w:rsid w:val="00BF5233"/>
    <w:rsid w:val="00BF5650"/>
    <w:rsid w:val="00BF6DA5"/>
    <w:rsid w:val="00C0031D"/>
    <w:rsid w:val="00C02D0A"/>
    <w:rsid w:val="00C03A6E"/>
    <w:rsid w:val="00C07D2F"/>
    <w:rsid w:val="00C14CDA"/>
    <w:rsid w:val="00C226C0"/>
    <w:rsid w:val="00C33406"/>
    <w:rsid w:val="00C42FE6"/>
    <w:rsid w:val="00C44F6A"/>
    <w:rsid w:val="00C6198E"/>
    <w:rsid w:val="00C629F8"/>
    <w:rsid w:val="00C64271"/>
    <w:rsid w:val="00C708EA"/>
    <w:rsid w:val="00C732F0"/>
    <w:rsid w:val="00C778A5"/>
    <w:rsid w:val="00C8140E"/>
    <w:rsid w:val="00C83DCC"/>
    <w:rsid w:val="00C87FFB"/>
    <w:rsid w:val="00C9337E"/>
    <w:rsid w:val="00C9345B"/>
    <w:rsid w:val="00C95162"/>
    <w:rsid w:val="00C96E7C"/>
    <w:rsid w:val="00CA4082"/>
    <w:rsid w:val="00CA5A14"/>
    <w:rsid w:val="00CB6A37"/>
    <w:rsid w:val="00CB7684"/>
    <w:rsid w:val="00CC7C8F"/>
    <w:rsid w:val="00CD1FC4"/>
    <w:rsid w:val="00CD69C0"/>
    <w:rsid w:val="00CD7066"/>
    <w:rsid w:val="00CD77AA"/>
    <w:rsid w:val="00CE3A81"/>
    <w:rsid w:val="00CF1410"/>
    <w:rsid w:val="00CF2351"/>
    <w:rsid w:val="00D034A0"/>
    <w:rsid w:val="00D03901"/>
    <w:rsid w:val="00D05FFD"/>
    <w:rsid w:val="00D11354"/>
    <w:rsid w:val="00D136A2"/>
    <w:rsid w:val="00D21061"/>
    <w:rsid w:val="00D246FC"/>
    <w:rsid w:val="00D30D72"/>
    <w:rsid w:val="00D32BA0"/>
    <w:rsid w:val="00D34790"/>
    <w:rsid w:val="00D36EA0"/>
    <w:rsid w:val="00D4108E"/>
    <w:rsid w:val="00D435C3"/>
    <w:rsid w:val="00D51B47"/>
    <w:rsid w:val="00D6163D"/>
    <w:rsid w:val="00D76143"/>
    <w:rsid w:val="00D831A3"/>
    <w:rsid w:val="00D945EA"/>
    <w:rsid w:val="00D97BE3"/>
    <w:rsid w:val="00DA3711"/>
    <w:rsid w:val="00DB47DA"/>
    <w:rsid w:val="00DB4DF1"/>
    <w:rsid w:val="00DB571C"/>
    <w:rsid w:val="00DC620E"/>
    <w:rsid w:val="00DD46F3"/>
    <w:rsid w:val="00DE56F2"/>
    <w:rsid w:val="00DF116D"/>
    <w:rsid w:val="00DF14DB"/>
    <w:rsid w:val="00E06EDE"/>
    <w:rsid w:val="00E112C9"/>
    <w:rsid w:val="00E16FF7"/>
    <w:rsid w:val="00E24632"/>
    <w:rsid w:val="00E26D68"/>
    <w:rsid w:val="00E33F32"/>
    <w:rsid w:val="00E346AC"/>
    <w:rsid w:val="00E37BAF"/>
    <w:rsid w:val="00E416CF"/>
    <w:rsid w:val="00E41EEA"/>
    <w:rsid w:val="00E43960"/>
    <w:rsid w:val="00E44045"/>
    <w:rsid w:val="00E46253"/>
    <w:rsid w:val="00E53067"/>
    <w:rsid w:val="00E618C4"/>
    <w:rsid w:val="00E634B0"/>
    <w:rsid w:val="00E71E40"/>
    <w:rsid w:val="00E72324"/>
    <w:rsid w:val="00E878EE"/>
    <w:rsid w:val="00E94B75"/>
    <w:rsid w:val="00E958AF"/>
    <w:rsid w:val="00EA61D3"/>
    <w:rsid w:val="00EA6EC7"/>
    <w:rsid w:val="00EA7576"/>
    <w:rsid w:val="00EB104F"/>
    <w:rsid w:val="00EB46E5"/>
    <w:rsid w:val="00EC11FF"/>
    <w:rsid w:val="00EC1B78"/>
    <w:rsid w:val="00EC63FF"/>
    <w:rsid w:val="00ED14BD"/>
    <w:rsid w:val="00EE2120"/>
    <w:rsid w:val="00EF3412"/>
    <w:rsid w:val="00EF402D"/>
    <w:rsid w:val="00EF521A"/>
    <w:rsid w:val="00EF5716"/>
    <w:rsid w:val="00EF65BC"/>
    <w:rsid w:val="00F016C7"/>
    <w:rsid w:val="00F12DEC"/>
    <w:rsid w:val="00F1715C"/>
    <w:rsid w:val="00F220AB"/>
    <w:rsid w:val="00F310F8"/>
    <w:rsid w:val="00F34DA1"/>
    <w:rsid w:val="00F35939"/>
    <w:rsid w:val="00F45607"/>
    <w:rsid w:val="00F4722B"/>
    <w:rsid w:val="00F54432"/>
    <w:rsid w:val="00F57299"/>
    <w:rsid w:val="00F659EB"/>
    <w:rsid w:val="00F70EBE"/>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 w:type="paragraph" w:customStyle="1" w:styleId="SoDTextbezodsazen">
    <w:name w:val="_SoD_Text_bez_odsazení"/>
    <w:basedOn w:val="Normln"/>
    <w:link w:val="SoDTextbezodsazenChar"/>
    <w:qFormat/>
    <w:rsid w:val="00861D84"/>
    <w:pPr>
      <w:spacing w:after="120"/>
      <w:jc w:val="both"/>
    </w:pPr>
    <w:rPr>
      <w:rFonts w:ascii="Verdana" w:hAnsi="Verdana"/>
    </w:rPr>
  </w:style>
  <w:style w:type="character" w:customStyle="1" w:styleId="SoDTextbezodsazenChar">
    <w:name w:val="_SoD_Text_bez_odsazení Char"/>
    <w:basedOn w:val="Standardnpsmoodstavce"/>
    <w:link w:val="SoDTextbezodsazen"/>
    <w:rsid w:val="00861D84"/>
    <w:rPr>
      <w:rFonts w:ascii="Verdana" w:hAnsi="Verdana"/>
    </w:rPr>
  </w:style>
  <w:style w:type="paragraph" w:customStyle="1" w:styleId="Tabulka-7">
    <w:name w:val="_Tabulka-7"/>
    <w:basedOn w:val="Normln"/>
    <w:qFormat/>
    <w:rsid w:val="000A67E3"/>
    <w:pPr>
      <w:spacing w:before="20" w:after="20" w:line="240" w:lineRule="auto"/>
    </w:pPr>
    <w:rPr>
      <w:rFonts w:ascii="Verdana" w:hAnsi="Verdana"/>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ridel@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maliak@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imaliak@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76341"/>
    <w:rsid w:val="00086A7C"/>
    <w:rsid w:val="000A6048"/>
    <w:rsid w:val="000F6778"/>
    <w:rsid w:val="00113B62"/>
    <w:rsid w:val="001258DC"/>
    <w:rsid w:val="00150E54"/>
    <w:rsid w:val="00155B79"/>
    <w:rsid w:val="001566A1"/>
    <w:rsid w:val="001C0C02"/>
    <w:rsid w:val="001C31D8"/>
    <w:rsid w:val="001F2DA6"/>
    <w:rsid w:val="00244589"/>
    <w:rsid w:val="002B0162"/>
    <w:rsid w:val="002B5AF1"/>
    <w:rsid w:val="002C660C"/>
    <w:rsid w:val="003521B0"/>
    <w:rsid w:val="003610C9"/>
    <w:rsid w:val="00385034"/>
    <w:rsid w:val="00386457"/>
    <w:rsid w:val="003B7884"/>
    <w:rsid w:val="003E0351"/>
    <w:rsid w:val="00403A33"/>
    <w:rsid w:val="00435807"/>
    <w:rsid w:val="0043688D"/>
    <w:rsid w:val="00490071"/>
    <w:rsid w:val="004A262A"/>
    <w:rsid w:val="004E2DA3"/>
    <w:rsid w:val="004E4EFA"/>
    <w:rsid w:val="005068A7"/>
    <w:rsid w:val="005E70DB"/>
    <w:rsid w:val="0060601F"/>
    <w:rsid w:val="006527EE"/>
    <w:rsid w:val="006A67FF"/>
    <w:rsid w:val="006C4176"/>
    <w:rsid w:val="006F5459"/>
    <w:rsid w:val="00726B85"/>
    <w:rsid w:val="00750732"/>
    <w:rsid w:val="00773106"/>
    <w:rsid w:val="0077390E"/>
    <w:rsid w:val="007758DB"/>
    <w:rsid w:val="007A0A06"/>
    <w:rsid w:val="007D0BE3"/>
    <w:rsid w:val="00802EFB"/>
    <w:rsid w:val="00891D55"/>
    <w:rsid w:val="00897A52"/>
    <w:rsid w:val="008A3E2F"/>
    <w:rsid w:val="00936721"/>
    <w:rsid w:val="00961D69"/>
    <w:rsid w:val="00992E48"/>
    <w:rsid w:val="009C6045"/>
    <w:rsid w:val="009E6938"/>
    <w:rsid w:val="009E73AC"/>
    <w:rsid w:val="00A363DE"/>
    <w:rsid w:val="00A607EB"/>
    <w:rsid w:val="00A9196C"/>
    <w:rsid w:val="00AC2CA8"/>
    <w:rsid w:val="00BB192B"/>
    <w:rsid w:val="00BC4068"/>
    <w:rsid w:val="00C14CDA"/>
    <w:rsid w:val="00C1680D"/>
    <w:rsid w:val="00C60C5E"/>
    <w:rsid w:val="00C62523"/>
    <w:rsid w:val="00CF29AD"/>
    <w:rsid w:val="00D30870"/>
    <w:rsid w:val="00D35307"/>
    <w:rsid w:val="00D93F65"/>
    <w:rsid w:val="00DD3738"/>
    <w:rsid w:val="00E15339"/>
    <w:rsid w:val="00E6140B"/>
    <w:rsid w:val="00EF5B82"/>
    <w:rsid w:val="00EF65BC"/>
    <w:rsid w:val="00F162F5"/>
    <w:rsid w:val="00F4732C"/>
    <w:rsid w:val="00F70E92"/>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CB8920FE-1D8A-4755-9A0D-9A817A4E2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8564C9-83D1-4C2F-8EF9-D9D829BABB50}">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VTP_nové_logo-5</Template>
  <TotalTime>4</TotalTime>
  <Pages>14</Pages>
  <Words>5875</Words>
  <Characters>34668</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3</cp:revision>
  <cp:lastPrinted>2019-07-24T06:01:00Z</cp:lastPrinted>
  <dcterms:created xsi:type="dcterms:W3CDTF">2025-11-06T10:19:00Z</dcterms:created>
  <dcterms:modified xsi:type="dcterms:W3CDTF">2025-11-06T11:58:00Z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